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303</w:t>
      </w:r>
    </w:p>
    <w:p>
      <w:r>
        <w:t>Bundesgericht (BGE), 1966-10-18, DE</w:t>
      </w:r>
    </w:p>
    <w:p>
      <w:r>
        <w:rPr>
          <w:b/>
        </w:rPr>
        <w:t xml:space="preserve">Quelle: </w:t>
      </w:r>
      <w:r>
        <w:t>https://mcp.opencaselaw.ch/entscheid/bge_92 I 303</w:t>
      </w:r>
    </w:p>
    <w:p>
      <w:r>
        <w:t>FR: ATF 92 I 303</w:t>
      </w:r>
    </w:p>
    <w:p>
      <w:r>
        <w:t>IT: DTF 92 I 303</w:t>
      </w:r>
    </w:p>
    <w:p>
      <w:pPr>
        <w:pStyle w:val="Heading2"/>
      </w:pPr>
      <w:r>
        <w:t>Regeste</w:t>
      </w:r>
    </w:p>
    <w:p>
      <w:r>
        <w:t>Regeste Nationale Bezeichnung im Namen einer Genossenschaft, Art. 45 HRegV. Voraussetzungen für die Bewilligung (Erw. 1). Unzulässig die Bezeichnung "schweizerische" für eine erst in Gründung begriffene Wohnbaugenossenschaft ohne offiziellen oder offiziösen Charakter (Erw. 2-4).</w:t>
      </w:r>
    </w:p>
    <w:p>
      <w:pPr>
        <w:pStyle w:val="Heading2"/>
      </w:pPr>
      <w:r>
        <w:t>Erwägungen</w:t>
      </w:r>
    </w:p>
    <w:p>
      <w:r>
        <w:rPr>
          <w:b/>
        </w:rPr>
        <w:t>E. 1</w:t>
      </w:r>
    </w:p>
    <w:p>
      <w:r>
        <w:t>Der Bundesrat hat auf Grund von Art. 944 Abs. 2 OR den Einzelfirmen, Handelsgesellschaften und Genossenschaften verboten, in ihrer Firma nationale Bezeichnungen zu verwenden. Das eidgen. Amt für das Handelsregister kann jedoch Ausnahmen gestatten, wenn sie durch besondere Umstände gerechtfertigt sind ( Art. 45 Abs. 1 und 2 HRegV ). Diese Regelung will nicht nur der Gefahr von Täuschungen vorbeugen ( Art. 944 Abs. 1 OR ), sondern auch verhindern, dass eine nationale Bezeichnung bloss um der Reklame willen in die Firma aufgenommen werde, sei es, um das Ansehen des Geschäftsinhabers zu heben, sei es, um diesem bei der Verfolgung seines Zweckes sonstwie vor Mitbewerbern einen Vorzug zu verschaffen. Besondere Umstände im Sinne des Art. 45 Abs. 1 HRegV liegen nur vor, wenn schützenswerte andere Interessen die Führung der nationalen Bezeichnung rechtfertigen. Das trifft z.B. zu, wenn der Geschäftsinhaber eine die gesamte Schweiz betreffende offizielle oder offiziöse Tätigkeit entfaltet oder eine wirtschaftliche Stellung errungen hat, die ihn zum tatsächlichen Vertreter gesamtschweizerischer Interessen stempelt ( BGE 82 I 44 Erw. 2, BGE 89 I 221 ff.). Ein berechtigtes Interesse an der Führung der nationalen Bezeichnung kann ferner bestehen, wenn sie nach Wortlaut und Sinn - z.B. durch das in Klammern gesetzte Wort "Schweiz" oder durch die Wendung "Verkauf Schweiz" - lediglich erläutert, dass der Inhaber der Firma nur den das Gebiet der Schweiz betreffenden Teil der geschäftlichen Tätigkeit einer Muttergesellschaft fördern will ( BGE 86 I 249 ; BGE 92 I 294 und 299).</w:t>
      </w:r>
    </w:p>
    <w:p>
      <w:r>
        <w:rPr>
          <w:b/>
        </w:rPr>
        <w:t>E. 2</w:t>
      </w:r>
    </w:p>
    <w:p>
      <w:r>
        <w:t>Die Wohnbaugenossenschaft, welche die Beschwerdeführer gründen wollen, wird weder eine offizielle noch eine offiziöse Tätigkeit entfalten. Dass der Zweck, den sie sich setzt, möglicherweise im Sinne des Bundesgesetzes vom 19. März 1965 über Massnahmen zur Förderung des Wohnungsbaues (AS 1966 S. 433 ff.) von der Eidgenossenschaft und den Kantonen unterstützt wird, also allenfalls im öffentlichen Interesse liegt, ändert nichts, ebensowenig der Umstand, dass di e Gründer vorwiegend Nationalräte und Regierungsräte sind. Unerheblich ist auch, dass die Tätigkeit der Organe angeblich ehrenamtlich erfolgen soll. Diese Behauptung der Beschwerdeführer kann übrigens nur die Generalversammlung betreffen, denn für die beiden BGE 92 I 303 S. 306 andern in den Statuten vorgesehenen Organe, d.h. die Verwaltung und die Kontrollstelle (Art. 21), erwähnen die Statuten ausdrücklich die Feststellung von Entschädigungen (Art. 24 lit. c). Dass die Genossenschaft selber keinen Gewinn erstrebt (Art. 2 Abs. 2), ändert an ihrer rein privaten Tätigkeit ebenfalls nichts. Die Beschwerdeführer stellen sich denn auch nicht auf den Standpunkt, die Tätigkeit der Genossenschaft sei als offizielle oder offiziöse zu würdigen.</w:t>
      </w:r>
    </w:p>
    <w:p>
      <w:r>
        <w:rPr>
          <w:b/>
        </w:rPr>
        <w:t>E. 3</w:t>
      </w:r>
    </w:p>
    <w:p>
      <w:r>
        <w:t>Dagegen trachten sie danach, den Handelsgesellschaften und Genossenschaften gleichgestellt zu werden, denen trotz ihrer rein privaten Betätigung die Führung des Firmenbestandteils "schweizerisch" bewilligt wurde. Sie machen in erster Linie geltend, diese Gesellschaften und Genossenschaften seien nicht alle tatsächliche Vertreter gesamtschweizerischer Interessen und neue Unternehmen dürften nicht gegenüber bestehenden durch eine strengere Praxis benachteiligt werden. Das Bundesgericht hat jedoch nicht zu entscheiden, ob den genannten Gesellschaften und Genossenschaften die Bewilligung zu Recht erteilt wurde. Sollte das zugetroffen haben, so vermöchten die Beschwerdeführer daraus nichts zu ihren Gunsten abzuleiten, da jeder Fall nach den ihm eigenen Umständen zu würdigen ist ( BGE 86 I 249 , BGE 91 I 217 ). Sollten dagegen die erwähnten Gesellschaften und Genossenschaften die Bewilligung zu Unrecht erhalten haben, so gäbe das den Beschwerdeführern nicht Anspruch darauf, dass auch in ihrem Falle ein gesetzwidriger Entscheid gefällt werde ( BGE 91 I 217 und dort erwähnte Entscheide). Es kann einer Behörde nicht verwehrt sein, eine Bewilligungspraxis aufzugeben, deren Unrichtigkeit sie erkannt hat oder deren Verschärfung sie wegen veränderter Verhältnisse oder zunehmender Missbräuche für zweckmässig hält ( BGE 86 I 250 , BGE 91 I 218 ). Dazu kommt, dass das Bundesgericht ohnehin an die Praxis des eidgen. Amtes für das Handelsregister nicht gebunden ist. Es hat selbständig den Sinn des Gesetzes und der Handelsregisterverordnung zu ermitteln und im einzelnen Fall zu prüfen, ob der angefochtene Entscheid sich mit diesen Erlassen verträgt.</w:t>
      </w:r>
    </w:p>
    <w:p>
      <w:r>
        <w:rPr>
          <w:b/>
        </w:rPr>
        <w:t>E. 4</w:t>
      </w:r>
    </w:p>
    <w:p>
      <w:r>
        <w:t>Die Beschwerdeführer glauben, die zu gründende Genossenschaft habe auf das Wort "schweizerisch" Anspruch, weil sie gesamtschweizerisch arbeiten wolle; sie müsse in ihrer Firma ausdrücken können, dass sie in der ganzen Schweiz tätig sei. BGE 92 I 303 S. 307 Nach der Rechtsprechung des Bundesgerichts genügen indessen dieser Wille und das entsprechende Propagandabedürfnis nicht, mögen die Gesellschafter oder Genossenschafter noch so sehr Gewähr dafür bieten, dass sie wirklich versuchen werden, ihren Willen durchzusetzen. Nur Gesellschaften und Genossenschaften, deren Tätigkeit ein Ausmass, das sie zu Vertretern gesamtschweizerischer Interessen stempelt, schon tatsächlich erreicht hat und noch immer aufweist, haben Anspruch auf den Gebrauch bezw. die Weiterführung einer nationalen Bezeichnung ( BGE 82 I 40 ff.). Diese Voraussetzung ist im vorliegenden Falle nicht erfüllt, da die Genossenschaft erst in Gründung begriffen ist und überhaupt noch keine Tätigkeit entfaltet hat. Was ihr die Beschwerdeführer zuschreiben, sind blosse Vorhaben. Die Behauptung, es seien Gesuche für den Bau von 600 Wohnungen in Vorbereitung, lässt übrigens eine Vertretung gesamtschweizerischer Interessen nicht voraussehen, sollen doch diese Gesuche nur die Kantone Bern, Luzern, Zug und Solothurn betreffen. Die Bewilligung der nationalen Bezeichnung würde sich bis auf weiteres lediglich reklamehaft auswirken. Das geben die Beschwerdeführer im Grunde genommen zu, indem sie geltend machen, die beträchtlichen Kapitalien, die sie für die geplanten Überbauungen benötigten, könnten nur im grösseren Rahmen einer schweizerischen Organisation beschafft werden, weshalb sie in der Firma ausdrücken müssten, dass die Genossenschaft in diesem Rahmen tätig sei. Ihre Zusicherung, sie würden die nationale Bezeichnung nicht missbrauchen und seien bereit, die Mitgliedschaft in der Genossenschaft statutarisch vom Schweizerbürgerrecht abhängig zu machen, ändert hieran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